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left="0"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9011</w:t>
      </w:r>
      <w:r>
        <w:rPr>
          <w:rFonts w:cs="Arial" w:ascii="Carlito" w:hAnsi="Carlito"/>
          <w:b/>
          <w:bCs/>
          <w:color w:val="000000"/>
          <w:sz w:val="24"/>
          <w:szCs w:val="24"/>
        </w:rPr>
        <w:t>9</w:t>
      </w:r>
      <w:r>
        <w:rPr>
          <w:rFonts w:cs="Arial" w:ascii="Carlito" w:hAnsi="Carlito"/>
          <w:b/>
          <w:bCs/>
          <w:color w:val="000000"/>
          <w:sz w:val="24"/>
          <w:szCs w:val="24"/>
        </w:rPr>
        <w:t>/2024</w:t>
      </w:r>
    </w:p>
    <w:p>
      <w:pPr>
        <w:pStyle w:val="Normal"/>
        <w:spacing w:lineRule="auto" w:line="276"/>
        <w:jc w:val="center"/>
        <w:rPr/>
      </w:pPr>
      <w:r>
        <w:rPr>
          <w:rFonts w:cs="Arial" w:ascii="Carlito" w:hAnsi="Carlito"/>
          <w:b/>
          <w:bCs/>
          <w:color w:val="000000"/>
          <w:sz w:val="24"/>
          <w:szCs w:val="24"/>
          <w:shd w:fill="auto" w:val="clear"/>
        </w:rPr>
        <w:t>(Processo Administrativo n.</w:t>
      </w:r>
      <w:r>
        <w:rPr>
          <w:rFonts w:cs="Arial" w:ascii="Carlito" w:hAnsi="Carlito"/>
          <w:b/>
          <w:bCs/>
          <w:color w:val="000000"/>
          <w:sz w:val="24"/>
          <w:szCs w:val="24"/>
          <w:shd w:fill="auto" w:val="clear"/>
        </w:rPr>
        <w:t xml:space="preserve">° </w:t>
      </w:r>
      <w:r>
        <w:rPr>
          <w:rStyle w:val="Nfaseforte"/>
          <w:rFonts w:eastAsia="Times New Roman" w:cs="Arial" w:ascii="Carlito" w:hAnsi="Carlito"/>
          <w:i w:val="false"/>
          <w:iCs w:val="false"/>
          <w:color w:val="000000"/>
          <w:kern w:val="0"/>
          <w:sz w:val="24"/>
          <w:szCs w:val="24"/>
          <w:shd w:fill="auto" w:val="clear"/>
          <w:lang w:val="pt-BR" w:eastAsia="pt-BR" w:bidi="ar-SA"/>
        </w:rPr>
        <w:t>63430.002925/2024-21</w:t>
      </w:r>
      <w:r>
        <w:rPr>
          <w:rFonts w:eastAsia="Times New Roman" w:cs="Arial" w:ascii="Carlito" w:hAnsi="Carlito"/>
          <w:b/>
          <w:bCs/>
          <w:color w:val="000000"/>
          <w:kern w:val="0"/>
          <w:sz w:val="24"/>
          <w:szCs w:val="24"/>
          <w:shd w:fill="auto" w:val="clear"/>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eastAsia="Times New Roman" w:cs="Times New Roman" w:ascii="Carlito" w:hAnsi="Carlito"/>
          <w:b w:val="false"/>
          <w:bCs w:val="false"/>
          <w:i w:val="false"/>
          <w:iCs/>
          <w:strike w:val="false"/>
          <w:dstrike w:val="false"/>
          <w:outline w:val="false"/>
          <w:shadow w:val="false"/>
          <w:color w:val="000000"/>
          <w:sz w:val="24"/>
          <w:szCs w:val="24"/>
          <w:u w:val="none"/>
          <w:shd w:fill="auto" w:val="clear"/>
          <w:em w:val="none"/>
          <w:lang w:eastAsia="zxx" w:bidi="zxx"/>
        </w:rPr>
        <w:t>Serviço de manutenção de viaturas empregadas na Operação Lais de Guia,</w:t>
      </w:r>
      <w:r>
        <w:rPr>
          <w:rFonts w:cs="Arial" w:ascii="Carlito" w:hAnsi="Carlito"/>
          <w:b w:val="false"/>
          <w:bCs w:val="false"/>
          <w:i w:val="false"/>
          <w:iCs/>
          <w:color w:val="000000"/>
          <w:sz w:val="24"/>
          <w:szCs w:val="24"/>
          <w:lang w:eastAsia="zxx" w:bidi="zxx"/>
        </w:rPr>
        <w:t xml:space="preserve"> </w:t>
      </w:r>
      <w:r>
        <w:rPr>
          <w:rFonts w:cs="Arial" w:ascii="Carlito" w:hAnsi="Carlito"/>
          <w:i w:val="false"/>
          <w:iCs/>
          <w:color w:val="000000"/>
          <w:sz w:val="24"/>
          <w:szCs w:val="24"/>
          <w:lang w:eastAsia="zxx" w:bidi="zxx"/>
        </w:rPr>
        <w:t>nos termos da tabela abaixo, conforme condições e exigências estabelecidas neste instrumento.</w:t>
      </w:r>
    </w:p>
    <w:tbl>
      <w:tblPr>
        <w:tblW w:w="10664" w:type="dxa"/>
        <w:jc w:val="left"/>
        <w:tblInd w:w="-392" w:type="dxa"/>
        <w:tblLayout w:type="fixed"/>
        <w:tblCellMar>
          <w:top w:w="0" w:type="dxa"/>
          <w:left w:w="68" w:type="dxa"/>
          <w:bottom w:w="0" w:type="dxa"/>
          <w:right w:w="108" w:type="dxa"/>
        </w:tblCellMar>
      </w:tblPr>
      <w:tblGrid>
        <w:gridCol w:w="682"/>
        <w:gridCol w:w="2781"/>
        <w:gridCol w:w="1080"/>
        <w:gridCol w:w="781"/>
        <w:gridCol w:w="799"/>
        <w:gridCol w:w="1187"/>
        <w:gridCol w:w="1471"/>
        <w:gridCol w:w="1023"/>
        <w:gridCol w:w="859"/>
      </w:tblGrid>
      <w:tr>
        <w:trPr/>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27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CATSER</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9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02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rlito" w:hAnsi="Carlito"/>
                <w:sz w:val="16"/>
                <w:szCs w:val="16"/>
              </w:rPr>
            </w:pPr>
            <w:r>
              <w:rPr>
                <w:rFonts w:ascii="Carlito" w:hAnsi="Carlito"/>
                <w:b/>
                <w:i w:val="false"/>
                <w:iCs w:val="false"/>
                <w:color w:val="000000"/>
                <w:sz w:val="16"/>
                <w:szCs w:val="16"/>
              </w:rPr>
              <w:t>LOCAL DE ENTREGA</w:t>
            </w:r>
          </w:p>
        </w:tc>
        <w:tc>
          <w:tcPr>
            <w:tcW w:w="8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rlito" w:hAnsi="Carlito"/>
                <w:sz w:val="16"/>
                <w:szCs w:val="16"/>
              </w:rPr>
            </w:pPr>
            <w:r>
              <w:rPr>
                <w:rFonts w:ascii="Carlito" w:hAnsi="Carlito"/>
                <w:b/>
                <w:i w:val="false"/>
                <w:iCs w:val="false"/>
                <w:color w:val="000000"/>
                <w:sz w:val="16"/>
                <w:szCs w:val="16"/>
              </w:rPr>
              <w:t>PRAZO DE ENTREGA</w:t>
            </w:r>
          </w:p>
        </w:tc>
      </w:tr>
      <w:tr>
        <w:trPr>
          <w:trHeight w:val="1420" w:hRule="atLeast"/>
        </w:trPr>
        <w:tc>
          <w:tcPr>
            <w:tcW w:w="682" w:type="dxa"/>
            <w:tcBorders>
              <w:left w:val="single" w:sz="4" w:space="0" w:color="000000"/>
              <w:bottom w:val="single" w:sz="4" w:space="0" w:color="000000"/>
              <w:right w:val="single" w:sz="4" w:space="0" w:color="000000"/>
            </w:tcBorders>
            <w:vAlign w:val="center"/>
          </w:tcPr>
          <w:p>
            <w:pPr>
              <w:pStyle w:val="Contedodatabela"/>
              <w:jc w:val="left"/>
              <w:rPr>
                <w:rFonts w:ascii="Carlito" w:hAnsi="Carlito"/>
                <w:color w:val="000000"/>
                <w:sz w:val="16"/>
                <w:szCs w:val="16"/>
              </w:rPr>
            </w:pPr>
            <w:r>
              <w:rPr>
                <w:rFonts w:ascii="Carlito" w:hAnsi="Carlito"/>
                <w:color w:val="000000"/>
                <w:sz w:val="16"/>
                <w:szCs w:val="16"/>
              </w:rPr>
              <w:t>1</w:t>
            </w:r>
          </w:p>
        </w:tc>
        <w:tc>
          <w:tcPr>
            <w:tcW w:w="2781" w:type="dxa"/>
            <w:tcBorders>
              <w:left w:val="single" w:sz="4" w:space="0" w:color="000000"/>
              <w:bottom w:val="single" w:sz="4" w:space="0" w:color="000000"/>
              <w:right w:val="single" w:sz="4" w:space="0" w:color="000000"/>
            </w:tcBorders>
            <w:vAlign w:val="center"/>
          </w:tcPr>
          <w:p>
            <w:pPr>
              <w:pStyle w:val="Normal"/>
              <w:bidi w:val="0"/>
              <w:jc w:val="left"/>
              <w:rPr>
                <w:rFonts w:ascii="Carlito" w:hAnsi="Carlito"/>
                <w:b/>
                <w:b/>
                <w:bCs/>
                <w:sz w:val="16"/>
                <w:szCs w:val="16"/>
              </w:rPr>
            </w:pPr>
            <w:r>
              <w:rPr>
                <w:rFonts w:ascii="Carlito" w:hAnsi="Carlito"/>
                <w:b/>
                <w:bCs/>
                <w:sz w:val="16"/>
                <w:szCs w:val="16"/>
              </w:rPr>
              <w:t>Van Ambulancia Renault Master KQL 9201</w:t>
            </w:r>
          </w:p>
          <w:p>
            <w:pPr>
              <w:pStyle w:val="Normal"/>
              <w:bidi w:val="0"/>
              <w:jc w:val="left"/>
              <w:rPr>
                <w:rFonts w:ascii="Carlito" w:hAnsi="Carlito"/>
                <w:b/>
                <w:b/>
                <w:bCs/>
                <w:sz w:val="16"/>
                <w:szCs w:val="16"/>
              </w:rPr>
            </w:pPr>
            <w:r>
              <w:rPr>
                <w:rFonts w:ascii="Carlito" w:hAnsi="Carlito"/>
                <w:b/>
                <w:bCs/>
                <w:sz w:val="16"/>
                <w:szCs w:val="16"/>
              </w:rPr>
            </w:r>
          </w:p>
          <w:p>
            <w:pPr>
              <w:pStyle w:val="Normal"/>
              <w:bidi w:val="0"/>
              <w:jc w:val="left"/>
              <w:rPr>
                <w:rFonts w:ascii="Carlito" w:hAnsi="Carlito"/>
                <w:b w:val="false"/>
                <w:b w:val="false"/>
                <w:bCs w:val="false"/>
                <w:sz w:val="16"/>
                <w:szCs w:val="16"/>
              </w:rPr>
            </w:pPr>
            <w:r>
              <w:rPr>
                <w:rFonts w:ascii="Carlito" w:hAnsi="Carlito"/>
                <w:b w:val="false"/>
                <w:bCs w:val="false"/>
                <w:sz w:val="16"/>
                <w:szCs w:val="16"/>
              </w:rPr>
              <w:t>Serviço de Mão de obra especializado na desmontagem e</w:t>
            </w:r>
          </w:p>
          <w:p>
            <w:pPr>
              <w:pStyle w:val="Normal"/>
              <w:bidi w:val="0"/>
              <w:jc w:val="left"/>
              <w:rPr>
                <w:rFonts w:ascii="Carlito" w:hAnsi="Carlito"/>
                <w:b w:val="false"/>
                <w:b w:val="false"/>
                <w:bCs w:val="false"/>
                <w:sz w:val="16"/>
                <w:szCs w:val="16"/>
              </w:rPr>
            </w:pPr>
            <w:r>
              <w:rPr>
                <w:rFonts w:ascii="Carlito" w:hAnsi="Carlito"/>
                <w:b w:val="false"/>
                <w:bCs w:val="false"/>
                <w:sz w:val="16"/>
                <w:szCs w:val="16"/>
              </w:rPr>
              <w:t xml:space="preserve">montagem com fornecimento do kit de embreagem. </w:t>
            </w:r>
          </w:p>
        </w:tc>
        <w:tc>
          <w:tcPr>
            <w:tcW w:w="108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bCs w:val="false"/>
                <w:i w:val="false"/>
                <w:i w:val="false"/>
                <w:strike w:val="false"/>
                <w:dstrike w:val="false"/>
                <w:outline w:val="false"/>
                <w:shadow w:val="false"/>
                <w:color w:val="000000"/>
                <w:sz w:val="16"/>
                <w:szCs w:val="16"/>
                <w:u w:val="none"/>
                <w:em w:val="none"/>
              </w:rPr>
            </w:pPr>
            <w:r>
              <w:rPr>
                <w:rFonts w:ascii="Carlito" w:hAnsi="Carlito"/>
                <w:b w:val="false"/>
                <w:bCs w:val="false"/>
                <w:i w:val="false"/>
                <w:strike w:val="false"/>
                <w:dstrike w:val="false"/>
                <w:outline w:val="false"/>
                <w:shadow w:val="false"/>
                <w:color w:val="000000"/>
                <w:sz w:val="16"/>
                <w:szCs w:val="16"/>
                <w:u w:val="none"/>
                <w:em w:val="none"/>
              </w:rPr>
              <w:t>3565</w:t>
            </w:r>
          </w:p>
        </w:tc>
        <w:tc>
          <w:tcPr>
            <w:tcW w:w="781" w:type="dxa"/>
            <w:tcBorders>
              <w:left w:val="single" w:sz="4" w:space="0" w:color="000000"/>
              <w:bottom w:val="single" w:sz="4" w:space="0" w:color="000000"/>
              <w:right w:val="single" w:sz="4" w:space="0" w:color="000000"/>
            </w:tcBorders>
            <w:vAlign w:val="center"/>
          </w:tcPr>
          <w:p>
            <w:pPr>
              <w:pStyle w:val="Contedodatabela"/>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UN</w:t>
            </w:r>
          </w:p>
        </w:tc>
        <w:tc>
          <w:tcPr>
            <w:tcW w:w="799" w:type="dxa"/>
            <w:tcBorders>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01</w:t>
            </w:r>
          </w:p>
        </w:tc>
        <w:tc>
          <w:tcPr>
            <w:tcW w:w="1187" w:type="dxa"/>
            <w:tcBorders>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R$ 3.998,00</w:t>
            </w:r>
          </w:p>
        </w:tc>
        <w:tc>
          <w:tcPr>
            <w:tcW w:w="1471" w:type="dxa"/>
            <w:tcBorders>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R$ 3.998,00</w:t>
            </w:r>
          </w:p>
        </w:tc>
        <w:tc>
          <w:tcPr>
            <w:tcW w:w="1023"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859" w:type="dxa"/>
            <w:tcBorders>
              <w:left w:val="single" w:sz="4" w:space="0" w:color="000000"/>
              <w:bottom w:val="single" w:sz="4" w:space="0" w:color="000000"/>
              <w:right w:val="single" w:sz="4" w:space="0" w:color="000000"/>
            </w:tcBorders>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bl>
    <w:p>
      <w:pPr>
        <w:pStyle w:val="Nivel1"/>
        <w:ind w:left="0" w:right="0" w:hanging="0"/>
        <w:rPr>
          <w:rFonts w:ascii="Carlito" w:hAnsi="Carlito"/>
          <w:sz w:val="24"/>
          <w:szCs w:val="24"/>
        </w:rPr>
      </w:pPr>
      <w:r>
        <w:rPr>
          <w:rFonts w:ascii="Carlito" w:hAnsi="Carlito"/>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ind w:left="716" w:right="0" w:hanging="432"/>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ind w:left="716" w:right="0" w:hanging="432"/>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cs="Arial" w:ascii="Carlito" w:hAnsi="Carlito"/>
          <w:i w:val="false"/>
          <w:iCs w:val="false"/>
          <w:color w:val="000000"/>
          <w:sz w:val="24"/>
          <w:szCs w:val="24"/>
        </w:rPr>
        <w:t>R$ 3.998,00</w:t>
      </w:r>
      <w:r>
        <w:rPr>
          <w:rFonts w:eastAsia="Times New Roman" w:cs="Times New Roman" w:ascii="Carlito" w:hAnsi="Carlito"/>
          <w:i w:val="false"/>
          <w:iCs w:val="false"/>
          <w:color w:val="000000"/>
          <w:sz w:val="24"/>
          <w:szCs w:val="24"/>
          <w:shd w:fill="auto" w:val="clear"/>
        </w:rPr>
        <w:t xml:space="preserve"> </w:t>
      </w:r>
      <w:r>
        <w:rPr>
          <w:rFonts w:eastAsia="Times New Roman" w:cs="Times New Roman" w:ascii="Carlito" w:hAnsi="Carlito"/>
          <w:i w:val="false"/>
          <w:iCs w:val="false"/>
          <w:color w:val="000000"/>
          <w:sz w:val="24"/>
          <w:szCs w:val="24"/>
        </w:rPr>
        <w:t>(</w:t>
      </w:r>
      <w:r>
        <w:rPr>
          <w:rFonts w:eastAsia="Times New Roman" w:cs="Times New Roman" w:ascii="Carlito" w:hAnsi="Carlito"/>
          <w:i w:val="false"/>
          <w:iCs w:val="false"/>
          <w:color w:val="000000"/>
          <w:kern w:val="0"/>
          <w:sz w:val="24"/>
          <w:szCs w:val="24"/>
          <w:lang w:val="pt-BR" w:eastAsia="pt-BR" w:bidi="ar-SA"/>
        </w:rPr>
        <w:t xml:space="preserve">Três </w:t>
      </w:r>
      <w:r>
        <w:rPr>
          <w:rFonts w:eastAsia="Times New Roman" w:cs="Times New Roman" w:ascii="Carlito" w:hAnsi="Carlito"/>
          <w:i w:val="false"/>
          <w:iCs w:val="false"/>
          <w:color w:val="000000"/>
          <w:sz w:val="24"/>
          <w:szCs w:val="24"/>
        </w:rPr>
        <w:t xml:space="preserve"> mil </w:t>
      </w:r>
      <w:r>
        <w:rPr>
          <w:rFonts w:eastAsia="Times New Roman" w:cs="Times New Roman" w:ascii="Carlito" w:hAnsi="Carlito"/>
          <w:i w:val="false"/>
          <w:iCs w:val="false"/>
          <w:color w:val="000000"/>
          <w:sz w:val="24"/>
          <w:szCs w:val="24"/>
        </w:rPr>
        <w:t>novecentos e noventa e oito</w:t>
      </w:r>
      <w:r>
        <w:rPr>
          <w:rFonts w:eastAsia="Times New Roman" w:cs="Times New Roman" w:ascii="Carlito" w:hAnsi="Carlito"/>
          <w:i w:val="false"/>
          <w:iCs w:val="false"/>
          <w:color w:val="000000"/>
          <w:kern w:val="0"/>
          <w:sz w:val="24"/>
          <w:szCs w:val="24"/>
          <w:lang w:val="pt-BR" w:eastAsia="pt-BR" w:bidi="ar-SA"/>
        </w:rPr>
        <w:t xml:space="preserve"> </w:t>
      </w:r>
      <w:r>
        <w:rPr>
          <w:rFonts w:eastAsia="Times New Roman" w:cs="Times New Roman" w:ascii="Carlito" w:hAnsi="Carlito"/>
          <w:i w:val="false"/>
          <w:iCs w:val="false"/>
          <w:color w:val="000000"/>
          <w:sz w:val="24"/>
          <w:szCs w:val="24"/>
        </w:rPr>
        <w:t>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s de Fuzileiros Navais, v</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u w:val="none"/>
          <w:shd w:fill="FFFFFF" w:val="clear"/>
          <w:em w:val="none"/>
          <w:lang w:val="zxx" w:eastAsia="zxx" w:bidi="zxx"/>
        </w:rPr>
        <w:t>isando o bom funcionamento das viaturas empregadas na</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u w:val="none"/>
          <w:shd w:fill="auto" w:val="clear"/>
          <w:em w:val="none"/>
          <w:lang w:val="zxx" w:eastAsia="zxx" w:bidi="zxx"/>
        </w:rPr>
        <w:t xml:space="preserve"> Operação Lais de Guia</w:t>
      </w:r>
      <w:r>
        <w:rPr>
          <w:rStyle w:val="Fontepargpadro"/>
          <w:rFonts w:eastAsia="Times New Roman" w:cs="Times New Roman" w:ascii="Carlito" w:hAnsi="Carlito"/>
          <w:b w:val="false"/>
          <w:bCs w:val="false"/>
          <w:i w:val="false"/>
          <w:iCs w:val="false"/>
          <w:strike w:val="false"/>
          <w:dstrike w:val="false"/>
          <w:outline w:val="false"/>
          <w:shadow w:val="false"/>
          <w:color w:val="000000"/>
          <w:sz w:val="24"/>
          <w:szCs w:val="24"/>
          <w:u w:val="none"/>
          <w:shd w:fill="FFFFFF" w:val="clear"/>
          <w:em w:val="none"/>
          <w:lang w:val="zxx" w:eastAsia="zxx" w:bidi="zxx"/>
        </w:rPr>
        <w:t>.</w:t>
      </w:r>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O fornecedor será selecionado por meio da realização de procedimento de dispensa de licitação, na forma eletrônica, com fundamento na hipótese do art. 75, inciso II da Lei n.º 14.133/2021, que culminará com a seleção da proposta de menor preço por grupo/item/global.</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As viaturas dever</w:t>
      </w:r>
      <w:r>
        <w:rPr>
          <w:rFonts w:eastAsia="Times New Roman" w:cs="Times New Roman" w:ascii="Carlito" w:hAnsi="Carlito"/>
          <w:b w:val="false"/>
          <w:bCs w:val="false"/>
          <w:iCs/>
          <w:color w:val="000000"/>
          <w:kern w:val="0"/>
          <w:sz w:val="24"/>
          <w:szCs w:val="24"/>
          <w:lang w:val="zxx" w:eastAsia="zxx" w:bidi="zxx"/>
        </w:rPr>
        <w:t>ão</w:t>
      </w:r>
      <w:r>
        <w:rPr>
          <w:rFonts w:cs="Times New Roman" w:ascii="Carlito" w:hAnsi="Carlito"/>
          <w:b w:val="false"/>
          <w:bCs w:val="false"/>
          <w:iCs/>
          <w:color w:val="000000"/>
          <w:sz w:val="24"/>
          <w:szCs w:val="24"/>
          <w:lang w:val="zxx" w:eastAsia="zxx" w:bidi="zxx"/>
        </w:rPr>
        <w:t xml:space="preserve"> ser retiradas e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 e tratativas:</w:t>
      </w:r>
      <w:r>
        <w:rPr>
          <w:rFonts w:cs="Times New Roman" w:ascii="Carlito" w:hAnsi="Carlito"/>
          <w:b w:val="false"/>
          <w:bCs w:val="false"/>
          <w:iCs/>
          <w:color w:val="000000"/>
          <w:sz w:val="24"/>
          <w:szCs w:val="24"/>
          <w:lang w:eastAsia="zxx" w:bidi="zxx"/>
        </w:rPr>
        <w:t xml:space="preserve"> será com os militares do Setor de solicitante. GARAGEM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3405-8216 e (21) 3405-8229.</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shd w:fill="FFFFFF" w:val="clear"/>
        </w:rPr>
        <w:t>Aviso de Dispensa Eletrônica</w:t>
      </w:r>
      <w:r>
        <w:rPr>
          <w:rFonts w:cs="Arial" w:ascii="Carlito" w:hAnsi="Carlito"/>
          <w:color w:val="000000"/>
          <w:sz w:val="24"/>
          <w:szCs w:val="24"/>
          <w:shd w:fill="FFFFFF" w:val="clear"/>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7.1.1.1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right="0"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right="0"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right="0"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W w:w="8647" w:type="dxa"/>
        <w:jc w:val="left"/>
        <w:tblInd w:w="-53" w:type="dxa"/>
        <w:tblLayout w:type="fixed"/>
        <w:tblCellMar>
          <w:top w:w="0" w:type="dxa"/>
          <w:left w:w="478" w:type="dxa"/>
          <w:bottom w:w="0" w:type="dxa"/>
          <w:right w:w="108" w:type="dxa"/>
        </w:tblCellMar>
      </w:tblPr>
      <w:tblGrid>
        <w:gridCol w:w="2147"/>
        <w:gridCol w:w="581"/>
        <w:gridCol w:w="1247"/>
        <w:gridCol w:w="4671"/>
      </w:tblGrid>
      <w:tr>
        <w:trPr/>
        <w:tc>
          <w:tcPr>
            <w:tcW w:w="2147" w:type="dxa"/>
            <w:tcBorders/>
            <w:vAlign w:val="center"/>
          </w:tcPr>
          <w:p>
            <w:pPr>
              <w:pStyle w:val="Normal"/>
              <w:widowControl w:val="false"/>
              <w:tabs>
                <w:tab w:val="clear" w:pos="367"/>
                <w:tab w:val="left" w:pos="1701" w:leader="none"/>
              </w:tabs>
              <w:jc w:val="center"/>
              <w:rPr>
                <w:rFonts w:ascii="Carlito" w:hAnsi="Carlito"/>
                <w:sz w:val="24"/>
                <w:szCs w:val="24"/>
              </w:rPr>
            </w:pPr>
            <w:r>
              <w:rPr>
                <w:rFonts w:eastAsia="ＭＳ 明朝" w:cs="Arial" w:ascii="Carlito" w:hAnsi="Carlito"/>
                <w:color w:val="000000"/>
                <w:sz w:val="24"/>
                <w:szCs w:val="24"/>
                <w:lang w:eastAsia="en-US"/>
              </w:rPr>
              <w:t>I = (TX)</w:t>
            </w:r>
          </w:p>
        </w:tc>
        <w:tc>
          <w:tcPr>
            <w:tcW w:w="581" w:type="dxa"/>
            <w:tcBorders/>
            <w:vAlign w:val="center"/>
          </w:tcPr>
          <w:p>
            <w:pPr>
              <w:pStyle w:val="Normal"/>
              <w:widowControl w:val="false"/>
              <w:tabs>
                <w:tab w:val="clear" w:pos="367"/>
                <w:tab w:val="left" w:pos="1701" w:leader="none"/>
              </w:tabs>
              <w:jc w:val="left"/>
              <w:rPr>
                <w:rFonts w:ascii="Carlito" w:hAnsi="Carlito"/>
                <w:sz w:val="24"/>
                <w:szCs w:val="24"/>
              </w:rPr>
            </w:pPr>
            <w:r>
              <w:rPr>
                <w:rFonts w:eastAsia="ＭＳ 明朝" w:cs="Arial" w:ascii="Carlito" w:hAnsi="Carlito"/>
                <w:color w:val="000000"/>
                <w:sz w:val="24"/>
                <w:szCs w:val="24"/>
                <w:lang w:eastAsia="en-US"/>
              </w:rPr>
              <w:t>I =</w:t>
            </w:r>
          </w:p>
        </w:tc>
        <w:tc>
          <w:tcPr>
            <w:tcW w:w="1247" w:type="dxa"/>
            <w:tcBorders>
              <w:bottom w:val="single" w:sz="4" w:space="0" w:color="000000"/>
            </w:tcBorders>
          </w:tcPr>
          <w:p>
            <w:pPr>
              <w:pStyle w:val="Normal"/>
              <w:widowControl w:val="false"/>
              <w:tabs>
                <w:tab w:val="clear" w:pos="367"/>
                <w:tab w:val="left" w:pos="1701" w:leader="none"/>
              </w:tabs>
              <w:suppressAutoHyphens w:val="true"/>
              <w:overflowPunct w:val="false"/>
              <w:bidi w:val="0"/>
              <w:spacing w:before="0" w:after="0"/>
              <w:ind w:left="-227" w:right="0" w:hanging="0"/>
              <w:jc w:val="center"/>
              <w:textAlignment w:val="baseline"/>
              <w:rPr>
                <w:rFonts w:ascii="Carlito" w:hAnsi="Carlito"/>
                <w:sz w:val="24"/>
                <w:szCs w:val="24"/>
              </w:rPr>
            </w:pPr>
            <w:r>
              <w:rPr>
                <w:rFonts w:eastAsia="ＭＳ 明朝" w:cs="Arial" w:ascii="Carlito" w:hAnsi="Carlito"/>
                <w:color w:val="000000"/>
                <w:sz w:val="24"/>
                <w:szCs w:val="24"/>
                <w:lang w:eastAsia="en-US"/>
              </w:rPr>
              <w:t>(6 / 100)</w:t>
            </w:r>
          </w:p>
        </w:tc>
        <w:tc>
          <w:tcPr>
            <w:tcW w:w="4671" w:type="dxa"/>
            <w:tcBorders/>
            <w:vAlign w:val="center"/>
          </w:tcPr>
          <w:p>
            <w:pPr>
              <w:pStyle w:val="Normal"/>
              <w:widowControl w:val="false"/>
              <w:tabs>
                <w:tab w:val="clear" w:pos="367"/>
                <w:tab w:val="left" w:pos="1701" w:leader="none"/>
              </w:tabs>
              <w:ind w:left="742" w:right="0" w:hanging="0"/>
              <w:jc w:val="left"/>
              <w:rPr>
                <w:rFonts w:ascii="Carlito" w:hAnsi="Carlito"/>
                <w:sz w:val="24"/>
                <w:szCs w:val="24"/>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right="0" w:hanging="0"/>
              <w:jc w:val="left"/>
              <w:rPr>
                <w:rFonts w:ascii="Carlito" w:hAnsi="Carlito"/>
                <w:sz w:val="24"/>
                <w:szCs w:val="24"/>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shd w:fill="FFFFFF" w:val="clear"/>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cs="Arial" w:ascii="Carlito" w:hAnsi="Carlito"/>
          <w:b/>
          <w:color w:val="000000"/>
          <w:kern w:val="0"/>
          <w:sz w:val="24"/>
          <w:szCs w:val="24"/>
          <w:lang w:val="pt-BR" w:eastAsia="pt-BR" w:bidi="ar-SA"/>
        </w:rPr>
        <w:t>.</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ind w:left="716" w:right="0" w:hanging="432"/>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shd w:fill="FFFFFF" w:val="clear"/>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left="0"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O custo estimado da aquisição é de</w:t>
      </w:r>
      <w:r>
        <w:rPr>
          <w:rFonts w:eastAsia="Times New Roman" w:cs="Times New Roman" w:ascii="Carlito" w:hAnsi="Carlito"/>
          <w:b w:val="false"/>
          <w:bCs w:val="false"/>
          <w:i w:val="false"/>
          <w:iCs w:val="false"/>
          <w:color w:val="000000"/>
          <w:kern w:val="0"/>
          <w:sz w:val="24"/>
          <w:szCs w:val="24"/>
          <w:shd w:fill="FFFFFF" w:val="clear"/>
          <w:lang w:val="pt-BR" w:eastAsia="pt-BR" w:bidi="ar-SA"/>
        </w:rPr>
        <w:t xml:space="preserve"> </w:t>
      </w:r>
      <w:r>
        <w:rPr>
          <w:rFonts w:eastAsia="Times New Roman" w:cs="Times New Roman" w:ascii="Carlito" w:hAnsi="Carlito"/>
          <w:b w:val="false"/>
          <w:bCs w:val="false"/>
          <w:i w:val="false"/>
          <w:iCs w:val="false"/>
          <w:color w:val="000000"/>
          <w:kern w:val="0"/>
          <w:sz w:val="24"/>
          <w:szCs w:val="24"/>
          <w:shd w:fill="auto" w:val="clear"/>
          <w:lang w:val="pt-BR" w:eastAsia="zh-CN" w:bidi="ar-SA"/>
        </w:rPr>
        <w:t>R$ 3.998,00</w:t>
      </w:r>
      <w:r>
        <w:rPr>
          <w:rFonts w:eastAsia="Times New Roman" w:cs="Times New Roman" w:ascii="Carlito" w:hAnsi="Carlito"/>
          <w:b w:val="false"/>
          <w:bCs w:val="false"/>
          <w:i w:val="false"/>
          <w:iCs w:val="false"/>
          <w:color w:val="000000"/>
          <w:kern w:val="0"/>
          <w:sz w:val="24"/>
          <w:szCs w:val="24"/>
          <w:shd w:fill="FFFFFF" w:val="clear"/>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cs="Arial"/>
          <w:b w:val="false"/>
          <w:b w:val="false"/>
          <w:bCs w:val="false"/>
          <w:color w:val="000000"/>
          <w:sz w:val="24"/>
          <w:szCs w:val="24"/>
        </w:rPr>
      </w:pPr>
      <w:r>
        <w:rPr>
          <w:rFonts w:cs="Arial" w:ascii="Carlito" w:hAnsi="Carlito"/>
          <w:b w:val="false"/>
          <w:bCs w:val="false"/>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2024.</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Setor solicitante: GARAGEM.</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u w:val="none"/>
          <w:shd w:fill="FFFF00" w:val="clear"/>
          <w:em w:val="none"/>
        </w:rPr>
      </w:pPr>
      <w:r>
        <w:rPr>
          <w:rFonts w:cs="Times New Roman" w:ascii="Carlito" w:hAnsi="Carlito"/>
          <w:b w:val="false"/>
          <w:i w:val="false"/>
          <w:strike w:val="false"/>
          <w:dstrike w:val="false"/>
          <w:outline w:val="false"/>
          <w:shadow w:val="false"/>
          <w:color w:val="000000"/>
          <w:sz w:val="24"/>
          <w:szCs w:val="24"/>
          <w:u w:val="none"/>
          <w:shd w:fill="FFFF00" w:val="clear"/>
          <w:em w:val="none"/>
        </w:rPr>
      </w:r>
    </w:p>
    <w:p>
      <w:pPr>
        <w:pStyle w:val="Normal"/>
        <w:jc w:val="center"/>
        <w:rPr>
          <w:rFonts w:ascii="Carlito" w:hAnsi="Carlito" w:eastAsia="Times New Roman" w:cs="Times New Roman"/>
          <w:b w:val="false"/>
          <w:b w:val="false"/>
          <w:bCs w:val="false"/>
          <w:i w:val="false"/>
          <w:i w:val="false"/>
          <w:strike w:val="false"/>
          <w:dstrike w:val="false"/>
          <w:outline w:val="false"/>
          <w:shadow w:val="false"/>
          <w:color w:val="000000"/>
          <w:kern w:val="2"/>
          <w:sz w:val="24"/>
          <w:szCs w:val="24"/>
          <w:u w:val="none"/>
          <w:shd w:fill="auto" w:val="clear"/>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rPr>
      </w:r>
    </w:p>
    <w:tbl>
      <w:tblPr>
        <w:tblW w:w="9962" w:type="dxa"/>
        <w:jc w:val="left"/>
        <w:tblInd w:w="-555" w:type="dxa"/>
        <w:tblLayout w:type="fixed"/>
        <w:tblCellMar>
          <w:top w:w="55" w:type="dxa"/>
          <w:left w:w="55" w:type="dxa"/>
          <w:bottom w:w="55" w:type="dxa"/>
          <w:right w:w="55" w:type="dxa"/>
        </w:tblCellMar>
      </w:tblPr>
      <w:tblGrid>
        <w:gridCol w:w="9962"/>
      </w:tblGrid>
      <w:tr>
        <w:trPr>
          <w:trHeight w:val="338" w:hRule="atLeast"/>
        </w:trPr>
        <w:tc>
          <w:tcPr>
            <w:tcW w:w="9962" w:type="dxa"/>
            <w:tcBorders/>
          </w:tcPr>
          <w:p>
            <w:pPr>
              <w:pStyle w:val="Contedodatabela"/>
              <w:widowControl w:val="false"/>
              <w:jc w:val="center"/>
              <w:rPr>
                <w:rFonts w:ascii="Carlito" w:hAnsi="Carlito"/>
                <w:sz w:val="24"/>
                <w:szCs w:val="24"/>
              </w:rPr>
            </w:pPr>
            <w:r>
              <w:rPr>
                <w:rFonts w:ascii="Carlito" w:hAnsi="Carlito"/>
                <w:color w:val="000000"/>
                <w:sz w:val="24"/>
                <w:szCs w:val="24"/>
              </w:rPr>
              <w:t xml:space="preserve">FABRICIO DA SILVA </w:t>
            </w:r>
            <w:r>
              <w:rPr>
                <w:rFonts w:ascii="Carlito" w:hAnsi="Carlito"/>
                <w:b/>
                <w:bCs/>
                <w:color w:val="000000"/>
                <w:sz w:val="24"/>
                <w:szCs w:val="24"/>
              </w:rPr>
              <w:t>ALBERNAZ</w:t>
            </w:r>
          </w:p>
        </w:tc>
      </w:tr>
      <w:tr>
        <w:trPr>
          <w:trHeight w:val="239" w:hRule="atLeast"/>
        </w:trPr>
        <w:tc>
          <w:tcPr>
            <w:tcW w:w="9962" w:type="dxa"/>
            <w:tcBorders/>
          </w:tcPr>
          <w:p>
            <w:pPr>
              <w:pStyle w:val="Contedodatabela"/>
              <w:widowControl w:val="false"/>
              <w:jc w:val="center"/>
              <w:rPr>
                <w:rFonts w:ascii="Carlito" w:hAnsi="Carlito"/>
                <w:sz w:val="24"/>
                <w:szCs w:val="24"/>
              </w:rPr>
            </w:pPr>
            <w:r>
              <w:rPr>
                <w:rFonts w:ascii="Carlito" w:hAnsi="Carlito"/>
                <w:color w:val="000000"/>
                <w:sz w:val="24"/>
                <w:szCs w:val="24"/>
              </w:rPr>
              <w:t>1°SG FN MO</w:t>
            </w:r>
          </w:p>
        </w:tc>
      </w:tr>
      <w:tr>
        <w:trPr>
          <w:trHeight w:val="788" w:hRule="atLeast"/>
        </w:trPr>
        <w:tc>
          <w:tcPr>
            <w:tcW w:w="9962" w:type="dxa"/>
            <w:tcBorders/>
          </w:tcPr>
          <w:p>
            <w:pPr>
              <w:pStyle w:val="Contedodatabela"/>
              <w:widowControl w:val="false"/>
              <w:jc w:val="center"/>
              <w:rPr>
                <w:rFonts w:ascii="Carlito" w:hAnsi="Carlito"/>
                <w:sz w:val="24"/>
                <w:szCs w:val="24"/>
              </w:rPr>
            </w:pPr>
            <w:r>
              <w:rPr>
                <w:rFonts w:ascii="Carlito" w:hAnsi="Carlito"/>
                <w:color w:val="000000"/>
                <w:sz w:val="24"/>
                <w:szCs w:val="24"/>
              </w:rPr>
              <w:t>Aux. Do pelotão de transporte</w:t>
            </w:r>
          </w:p>
        </w:tc>
      </w:tr>
    </w:tbl>
    <w:p>
      <w:pPr>
        <w:pStyle w:val="Normal"/>
        <w:widowControl/>
        <w:tabs>
          <w:tab w:val="clear" w:pos="367"/>
          <w:tab w:val="left" w:pos="2836" w:leader="none"/>
        </w:tabs>
        <w:bidi w:val="0"/>
        <w:spacing w:lineRule="auto" w:line="240" w:before="0" w:after="0"/>
        <w:ind w:left="0" w:right="0" w:hanging="0"/>
        <w:jc w:val="center"/>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bidi w:val="0"/>
        <w:jc w:val="center"/>
        <w:rPr>
          <w:rFonts w:ascii="Carlito" w:hAnsi="Carlito"/>
          <w:sz w:val="24"/>
          <w:szCs w:val="24"/>
        </w:rPr>
      </w:pPr>
      <w:r>
        <w:rPr>
          <w:rFonts w:eastAsia="Times New Roman" w:cs="Arial" w:ascii="Carlito" w:hAnsi="Carlito"/>
          <w:b/>
          <w:bCs/>
          <w:i w:val="false"/>
          <w:iCs/>
          <w:strike w:val="false"/>
          <w:dstrike w:val="false"/>
          <w:outline w:val="false"/>
          <w:shadow w:val="false"/>
          <w:color w:val="000000"/>
          <w:sz w:val="24"/>
          <w:szCs w:val="24"/>
          <w:u w:val="none"/>
          <w:shd w:fill="auto" w:val="clear"/>
          <w:em w:val="none"/>
        </w:rPr>
        <w:t>DAGOBERTO</w:t>
      </w:r>
      <w:r>
        <w:rPr>
          <w:rFonts w:eastAsia="Times New Roman" w:cs="Arial" w:ascii="Carlito" w:hAnsi="Carlito"/>
          <w:b w:val="false"/>
          <w:bCs/>
          <w:i w:val="false"/>
          <w:iCs/>
          <w:strike w:val="false"/>
          <w:dstrike w:val="false"/>
          <w:outline w:val="false"/>
          <w:shadow w:val="false"/>
          <w:color w:val="000000"/>
          <w:sz w:val="24"/>
          <w:szCs w:val="24"/>
          <w:u w:val="none"/>
          <w:shd w:fill="auto" w:val="clear"/>
          <w:em w:val="none"/>
        </w:rPr>
        <w:t xml:space="preserve"> FERREIRA DA SILVA JUNIOR</w:t>
      </w:r>
    </w:p>
    <w:p>
      <w:pPr>
        <w:pStyle w:val="Calibri"/>
        <w:spacing w:lineRule="auto" w:line="240" w:before="0" w:after="0"/>
        <w:ind w:left="0" w:right="0" w:hanging="0"/>
        <w:jc w:val="center"/>
        <w:rPr>
          <w:rFonts w:ascii="Carlito" w:hAnsi="Carlito"/>
          <w:sz w:val="24"/>
          <w:szCs w:val="24"/>
        </w:rPr>
      </w:pPr>
      <w:r>
        <w:rPr>
          <w:rFonts w:ascii="Carlito" w:hAnsi="Carlito"/>
          <w:b w:val="false"/>
          <w:bCs w:val="false"/>
          <w:color w:val="000000"/>
          <w:sz w:val="24"/>
          <w:szCs w:val="24"/>
        </w:rPr>
        <w:t>CMG (FN)</w:t>
      </w:r>
    </w:p>
    <w:p>
      <w:pPr>
        <w:pStyle w:val="Calibri"/>
        <w:bidi w:val="0"/>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pPr>
      <w:keepNext w:val="true"/>
      <w:keepLines/>
      <w:numPr>
        <w:ilvl w:val="0"/>
        <w:numId w:val="0"/>
      </w:numPr>
      <w:spacing w:before="240" w:after="0"/>
      <w:outlineLvl w:val="0"/>
    </w:pPr>
    <w:rPr>
      <w:rFonts w:ascii="Cambria" w:hAnsi="Cambria" w:eastAsia="Noto Sans CJK SC" w:cs="Lohit Devanagari"/>
      <w:color w:val="365F91"/>
      <w:sz w:val="32"/>
      <w:szCs w:val="32"/>
    </w:rPr>
  </w:style>
  <w:style w:type="paragraph" w:styleId="Ttulo2">
    <w:name w:val="Heading 2"/>
    <w:basedOn w:val="Normal"/>
    <w:next w:val="Normal"/>
    <w:link w:val="Ttulo2Char"/>
    <w:qFormat/>
    <w:pPr>
      <w:keepNext w:val="true"/>
      <w:numPr>
        <w:ilvl w:val="0"/>
        <w:numId w:val="0"/>
      </w:numPr>
      <w:tabs>
        <w:tab w:val="clear" w:pos="367"/>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numPr>
        <w:ilvl w:val="0"/>
        <w:numId w:val="0"/>
      </w:numPr>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rPr>
      <w:color w:val="000080"/>
      <w:u w:val="single"/>
    </w:rPr>
  </w:style>
  <w:style w:type="character" w:styleId="CitaoChar">
    <w:name w:val="Citação Char"/>
    <w:qFormat/>
    <w:rPr>
      <w:rFonts w:ascii="Ecofont_Spranq_eco_Sans" w:hAnsi="Ecofont_Spranq_eco_Sans" w:eastAsia="Calibri" w:cs="Tahoma"/>
      <w:i/>
      <w:iCs/>
      <w:color w:val="000000"/>
      <w:szCs w:val="24"/>
      <w:shd w:fill="FFFFCC" w:val="clear"/>
      <w:lang w:eastAsia="en-US"/>
    </w:rPr>
  </w:style>
  <w:style w:type="character" w:styleId="Citao2Char">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abealhoChar">
    <w:name w:val="Cabeçalho Char"/>
    <w:basedOn w:val="DefaultParagraphFont"/>
    <w:qFormat/>
    <w:rPr>
      <w:rFonts w:ascii="Ecofont_Spranq_eco_Sans" w:hAnsi="Ecofont_Spranq_eco_Sans" w:cs="Tahoma"/>
      <w:sz w:val="24"/>
      <w:szCs w:val="24"/>
    </w:rPr>
  </w:style>
  <w:style w:type="character" w:styleId="RodapChar">
    <w:name w:val="Rodapé Char"/>
    <w:basedOn w:val="DefaultParagraphFont"/>
    <w:qFormat/>
    <w:rPr>
      <w:rFonts w:ascii="Ecofont_Spranq_eco_Sans" w:hAnsi="Ecofont_Spranq_eco_Sans" w:cs="Tahoma"/>
      <w:sz w:val="24"/>
      <w:szCs w:val="24"/>
    </w:rPr>
  </w:style>
  <w:style w:type="character" w:styleId="Ttulo1Char">
    <w:name w:val="Título 1 Char"/>
    <w:basedOn w:val="DefaultParagraphFont"/>
    <w:qFormat/>
    <w:rPr>
      <w:rFonts w:ascii="Cambria" w:hAnsi="Cambria" w:eastAsia="Noto Sans CJK SC" w:cs="Lohit Devanagari"/>
      <w:color w:val="365F91"/>
      <w:sz w:val="32"/>
      <w:szCs w:val="32"/>
    </w:rPr>
  </w:style>
  <w:style w:type="character" w:styleId="Nivel1Char">
    <w:name w:val="Nivel1 Char"/>
    <w:basedOn w:val="Ttulo1Char"/>
    <w:link w:val="Nivel1"/>
    <w:qFormat/>
    <w:rPr>
      <w:rFonts w:ascii="Arial" w:hAnsi="Arial" w:eastAsia="Noto Sans CJK SC" w:cs="Arial"/>
      <w:b/>
      <w:color w:val="000000"/>
      <w:sz w:val="32"/>
      <w:szCs w:val="32"/>
    </w:rPr>
  </w:style>
  <w:style w:type="character" w:styleId="Annotationreference">
    <w:name w:val="annotation reference"/>
    <w:basedOn w:val="DefaultParagraphFont"/>
    <w:qFormat/>
    <w:rPr>
      <w:sz w:val="18"/>
      <w:szCs w:val="18"/>
    </w:rPr>
  </w:style>
  <w:style w:type="character" w:styleId="TextodecomentrioChar">
    <w:name w:val="Texto de comentário Char"/>
    <w:basedOn w:val="DefaultParagraphFont"/>
    <w:qFormat/>
    <w:rPr>
      <w:rFonts w:ascii="Arial" w:hAnsi="Arial" w:cs="Tahoma"/>
      <w:sz w:val="24"/>
      <w:szCs w:val="24"/>
    </w:rPr>
  </w:style>
  <w:style w:type="character" w:styleId="AssuntodocomentrioChar">
    <w:name w:val="Assunto do comentário Char"/>
    <w:basedOn w:val="TextodecomentrioChar"/>
    <w:qFormat/>
    <w:rPr>
      <w:rFonts w:ascii="Arial" w:hAnsi="Arial" w:cs="Tahoma"/>
      <w:b/>
      <w:bCs/>
      <w:sz w:val="24"/>
      <w:szCs w:val="24"/>
    </w:rPr>
  </w:style>
  <w:style w:type="character" w:styleId="Nivel01Char">
    <w:name w:val="Nivel 01 Char"/>
    <w:basedOn w:val="DefaultParagraphFont"/>
    <w:link w:val="Nivel01"/>
    <w:qFormat/>
    <w:rPr>
      <w:rFonts w:ascii="Ecofont_Spranq_eco_Sans" w:hAnsi="Ecofont_Spranq_eco_Sans" w:eastAsia="Noto Sans CJK SC"/>
      <w:b/>
      <w:bCs/>
      <w:color w:val="000000"/>
    </w:rPr>
  </w:style>
  <w:style w:type="character" w:styleId="Nivel01Char1">
    <w:name w:val="Nivel_01 Char"/>
    <w:basedOn w:val="Ttulo1Char"/>
    <w:qFormat/>
    <w:rPr>
      <w:rFonts w:ascii="Ecofont_Spranq_eco_Sans" w:hAnsi="Ecofont_Spranq_eco_Sans" w:eastAsia="Noto Sans CJK SC" w:cs="Lohit Devanagari"/>
      <w:b/>
      <w:bCs/>
      <w:color w:val="365F91"/>
      <w:sz w:val="32"/>
      <w:szCs w:val="32"/>
    </w:rPr>
  </w:style>
  <w:style w:type="character" w:styleId="Strong">
    <w:name w:val="Strong"/>
    <w:qFormat/>
    <w:rPr>
      <w:b/>
      <w:bCs/>
    </w:rPr>
  </w:style>
  <w:style w:type="character" w:styleId="Nfase">
    <w:name w:val="Ênfase"/>
    <w:basedOn w:val="DefaultParagraphFont"/>
    <w:qFormat/>
    <w:rPr>
      <w:i/>
      <w:iCs/>
    </w:rPr>
  </w:style>
  <w:style w:type="character" w:styleId="Nivel2Char">
    <w:name w:val="Nivel 2 Char"/>
    <w:basedOn w:val="DefaultParagraphFont"/>
    <w:link w:val="Nivel2"/>
    <w:qFormat/>
    <w:rPr>
      <w:rFonts w:ascii="Ecofont_Spranq_eco_Sans" w:hAnsi="Ecofont_Spranq_eco_Sans" w:eastAsia="Arial Unicode MS"/>
    </w:rPr>
  </w:style>
  <w:style w:type="character" w:styleId="QuoteChar">
    <w:name w:val="Quote Char"/>
    <w:link w:val="Citao1"/>
    <w:qFormat/>
    <w:rPr>
      <w:rFonts w:ascii="Ecofont_Spranq_eco_Sans" w:hAnsi="Ecofont_Spranq_eco_Sans" w:cs="Ecofont_Spranq_eco_Sans"/>
      <w:i/>
      <w:iCs/>
      <w:color w:val="000000"/>
      <w:sz w:val="24"/>
      <w:szCs w:val="24"/>
      <w:shd w:fill="FFFFCC" w:val="clear"/>
      <w:lang w:eastAsia="en-US"/>
    </w:rPr>
  </w:style>
  <w:style w:type="character" w:styleId="Appleconvertedspace">
    <w:name w:val="apple-converted-space"/>
    <w:basedOn w:val="DefaultParagraphFont"/>
    <w:qFormat/>
    <w:rPr/>
  </w:style>
  <w:style w:type="character" w:styleId="Scaytmisspellword">
    <w:name w:val="scayt-misspell-word"/>
    <w:basedOn w:val="DefaultParagraphFont"/>
    <w:qFormat/>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ListBullet5">
    <w:name w:val="List Bullet 5"/>
    <w:basedOn w:val="Normal"/>
    <w:qFormat/>
    <w:pPr>
      <w:spacing w:before="0" w:after="0"/>
      <w:contextualSpacing/>
    </w:pPr>
    <w:rPr/>
  </w:style>
  <w:style w:type="paragraph" w:styleId="Citao2">
    <w:name w:val="citação 2"/>
    <w:basedOn w:val="Quote"/>
    <w:qFormat/>
    <w:pPr>
      <w:shd w:val="clear" w:fill="FFFFCC"/>
    </w:pPr>
    <w:rPr>
      <w:szCs w:val="20"/>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pPr>
      <w:tabs>
        <w:tab w:val="clear" w:pos="367"/>
        <w:tab w:val="center" w:pos="4252" w:leader="none"/>
        <w:tab w:val="right" w:pos="8504" w:leader="none"/>
      </w:tabs>
    </w:pPr>
    <w:rPr/>
  </w:style>
  <w:style w:type="paragraph" w:styleId="Rodap">
    <w:name w:val="Footer"/>
    <w:basedOn w:val="Normal"/>
    <w:link w:val="RodapChar"/>
    <w:pPr>
      <w:tabs>
        <w:tab w:val="clear" w:pos="367"/>
        <w:tab w:val="center" w:pos="4252" w:leader="none"/>
        <w:tab w:val="right" w:pos="8504" w:leader="none"/>
      </w:tabs>
    </w:pPr>
    <w:rPr/>
  </w:style>
  <w:style w:type="paragraph" w:styleId="Nivel1">
    <w:name w:val="Nivel1"/>
    <w:basedOn w:val="Ttulo1"/>
    <w:next w:val="Normal"/>
    <w:link w:val="Nivel1Char"/>
    <w:qFormat/>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qFormat/>
    <w:pPr/>
    <w:rPr>
      <w:sz w:val="24"/>
    </w:rPr>
  </w:style>
  <w:style w:type="paragraph" w:styleId="Annotationsubject">
    <w:name w:val="annotation subject"/>
    <w:basedOn w:val="Annotationtext"/>
    <w:link w:val="AssuntodocomentrioChar"/>
    <w:qFormat/>
    <w:pPr/>
    <w:rPr>
      <w:b/>
      <w:bCs/>
      <w:sz w:val="20"/>
      <w:szCs w:val="20"/>
    </w:rPr>
  </w:style>
  <w:style w:type="paragraph" w:styleId="Nivel01">
    <w:name w:val="Nivel 01"/>
    <w:basedOn w:val="Ttulo1"/>
    <w:next w:val="Normal"/>
    <w:link w:val="Nivel01Char"/>
    <w:qFormat/>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name w:val="Nivel_01"/>
    <w:basedOn w:val="Ttulo1"/>
    <w:qFormat/>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name w:val="Parágrafo da Lista1"/>
    <w:basedOn w:val="Normal"/>
    <w:qFormat/>
    <w:pPr>
      <w:ind w:left="720" w:right="0" w:hanging="0"/>
    </w:pPr>
    <w:rPr>
      <w:rFonts w:ascii="Ecofont_Spranq_eco_Sans" w:hAnsi="Ecofont_Spranq_eco_Sans" w:cs="Ecofont_Spranq_eco_Sans"/>
      <w:sz w:val="24"/>
    </w:rPr>
  </w:style>
  <w:style w:type="paragraph" w:styleId="Nivel2">
    <w:name w:val="Nivel 2"/>
    <w:link w:val="Nivel2Char"/>
    <w:qFormat/>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name w:val="Nivel 1"/>
    <w:basedOn w:val="Nivel2"/>
    <w:qFormat/>
    <w:pPr>
      <w:tabs>
        <w:tab w:val="clear" w:pos="367"/>
        <w:tab w:val="left" w:pos="360" w:leader="none"/>
      </w:tabs>
      <w:ind w:left="644" w:right="0" w:hanging="432"/>
    </w:pPr>
    <w:rPr>
      <w:rFonts w:cs="Arial"/>
      <w:b/>
    </w:rPr>
  </w:style>
  <w:style w:type="paragraph" w:styleId="Nivel3">
    <w:name w:val="Nivel 3"/>
    <w:basedOn w:val="Nivel2"/>
    <w:qFormat/>
    <w:pPr>
      <w:tabs>
        <w:tab w:val="clear" w:pos="367"/>
        <w:tab w:val="left" w:pos="360" w:leader="none"/>
      </w:tabs>
      <w:ind w:left="1922" w:right="0" w:hanging="0"/>
    </w:pPr>
    <w:rPr>
      <w:rFonts w:cs="Arial"/>
      <w:color w:val="000000"/>
    </w:rPr>
  </w:style>
  <w:style w:type="paragraph" w:styleId="Nivel4">
    <w:name w:val="Nivel 4"/>
    <w:basedOn w:val="Nivel3"/>
    <w:qFormat/>
    <w:pPr>
      <w:ind w:left="2491" w:right="0" w:hanging="0"/>
    </w:pPr>
    <w:rPr>
      <w:color w:val="00000A"/>
    </w:rPr>
  </w:style>
  <w:style w:type="paragraph" w:styleId="Nivel5">
    <w:name w:val="Nivel 5"/>
    <w:basedOn w:val="Nivel4"/>
    <w:qFormat/>
    <w:pPr>
      <w:ind w:left="3485" w:right="0" w:hanging="0"/>
    </w:pPr>
    <w:rPr/>
  </w:style>
  <w:style w:type="paragraph" w:styleId="Citao1">
    <w:name w:val="Citação1"/>
    <w:basedOn w:val="Normal"/>
    <w:link w:val="QuoteChar"/>
    <w:qFormat/>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2"/>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TR compras</Template>
  <TotalTime>1623</TotalTime>
  <Application>LibreOffice/7.3.7.2$Linux_X86_64 LibreOffice_project/30$Build-2</Application>
  <AppVersion>15.0000</AppVersion>
  <Pages>6</Pages>
  <Words>1570</Words>
  <Characters>8765</Characters>
  <CharactersWithSpaces>10267</CharactersWithSpaces>
  <Paragraphs>105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2024-08-20T13:28:14Z</dcterms:modified>
  <cp:revision>245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